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A9" w:rsidRPr="00DF7261" w:rsidRDefault="006A63A9" w:rsidP="0042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 xml:space="preserve">Перелік питань </w:t>
      </w:r>
    </w:p>
    <w:p w:rsidR="006A63A9" w:rsidRPr="00DF7261" w:rsidRDefault="006A63A9" w:rsidP="0042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на знання законодавства України у сфері загальної середньої освіти, зокрема Законів України «Про освіту», «Про загальну середню освіту», інших нормативно-правових актів у сфері загальної середньої освіти</w:t>
      </w:r>
    </w:p>
    <w:p w:rsidR="006A63A9" w:rsidRPr="00DF7261" w:rsidRDefault="006A63A9" w:rsidP="0042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1. Основні аспекти управління закладом освіти відповідно до законів України «Про освіту», «Про загальну середню освіту».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2. Права та обов’язки здобувачів освіти, батьків здобувачів освіти, педагогічних працівників відповідно до Закону України «Про освіту».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3. Основа нової парадигми освіти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4. Види автономії гарантовані державою для закладу освіти, права керівника закладу загальної середньої освіти, які надає автономія.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5. Складові внутрішньої системи забезпечення якості освіти.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6. Документи, які регламентують та затверджують право закладу освіти створювати та мати у своєму складі класи (групи) з вечірньою (заочною), дистанційною формою навчання, класи (групи) з поглибленим вивченням окремих предметів, спеціальні та інклюзивні класи для навчання дітей з особливими освітніми потребами, структурні підрозділи, у тому числі філії.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7. Документ, яким визначаються повноваження директора закладу загальної середньої освіти.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8. Напрями, за якими Концепція реалізації державної політики у сфері реформування загальної середньої освіти «Нова українська школа» регламентує проведення докорінної та системної реформи загальної середньої освіти.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9. Ключові компетентності та наскрізні вміння здобувача освіти, які внесені до переліку, визначеного Концепцією реалізації державної політики у сфері реформування загальної середньої освіти «Нова українська школа».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10. Модель випускника Нової української школи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11. Шляхи зменшення бюрократичного навантаження на школу, передбачені Планом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12. Ключові компоненти та шляхи створення нового освітнього середовища у закладі загальної середньої освіти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13. Вимоги до організації інклюзивного навчання в закладах загальної середньої освіти.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14. Ключові питання атестація педагогічних працівників.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15. Сертифікація педагогічних працівників.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16. Завдання, які має вирішити ґрунтовна підготовка вчителів з впровадження Концепції реалізації державної політики у сфері реформування загальної середньої освіти «Нова українська школа».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17. Державні гарантії педагогічним працівникам відповідно до законів України «Про освіту», «Про загальну середню освіту».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18. Укладення трудового договору.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19. Зміна істотних умов праці.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20. Порядок застосування дисциплінарних стягнень.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21. Види відпусток.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22. Щорічна основна відпустка та її тривалість.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23. Надання матеріальної допомоги працівникам закладів загальної середньої освіти.</w:t>
      </w:r>
    </w:p>
    <w:p w:rsidR="006A63A9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24. Підстави припинення, розірвання трудового договору.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br w:type="page"/>
      </w:r>
    </w:p>
    <w:p w:rsidR="006A63A9" w:rsidRPr="00DF7261" w:rsidRDefault="006A63A9" w:rsidP="0042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Зразки ситуаційних завдань</w:t>
      </w:r>
    </w:p>
    <w:p w:rsidR="006A63A9" w:rsidRPr="00DF7261" w:rsidRDefault="006A63A9" w:rsidP="0042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для складання іспиту кандидатів на заміщення вакантних посад керівників закладів загальної середньої освіти</w:t>
      </w:r>
    </w:p>
    <w:p w:rsidR="006A63A9" w:rsidRPr="00DF7261" w:rsidRDefault="006A63A9" w:rsidP="00424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Ситуація 1.</w:t>
      </w: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ab/>
        <w:t>Молодий педагог не вийшов на роботу без попередження адміністрації, знаходився поза зоною досяжності мобільного зв’язку. Наступного дня прибув на роботу живий - здоровий. Дії директора школи?</w:t>
      </w: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Приклад розв’язання.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Директор школи у день відсутності працівника повинен скласти акт про відсутність працівника на робочому місці. Передзвонити рідним для з’ясування причин і обставин невиходу працівника на роботу. У разі появи працівника на роботі, директор бере письмове пояснення. У залежності від причин, викладених у поясненні, директор вживає заходів: без поважних причин оголошує догану, заробітну плату за день прогулу не нараховує.</w:t>
      </w: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ab/>
      </w: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Ситуація 2.</w:t>
      </w: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ab/>
        <w:t>Завуч школи, вчитель історії, не підготував вчасно важливі документи, чим створив несприятливу ситуацію у роботі та отримав догану за недобросовісне виконання обов’язків. У той же час стає відомо, що його учень здобув перемогу на олімпіаді всеукраїнського рівня. Чи правильно буде одразу після покарання заохочувати і визнавати заслуги підлеглого?</w:t>
      </w: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261">
        <w:rPr>
          <w:rFonts w:ascii="Times New Roman" w:hAnsi="Times New Roman"/>
          <w:b/>
          <w:sz w:val="24"/>
          <w:szCs w:val="24"/>
          <w:lang w:val="uk-UA"/>
        </w:rPr>
        <w:t>Приклад розв’язання.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Відповідно до статті 151 КЗпП України власник має право зняти дисциплінарне стягнення у будь-який час до закінчення річного строку з дня накладення стягнення, але за умови якщо працівник не допустив нового порушення трудової дисципліни або проявив себе як сумлінний працівник.</w:t>
      </w: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br w:type="page"/>
      </w:r>
    </w:p>
    <w:p w:rsidR="006A63A9" w:rsidRPr="00DF7261" w:rsidRDefault="006A63A9" w:rsidP="00424C7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Порядок </w:t>
      </w:r>
      <w:r w:rsidRPr="00DF7261">
        <w:rPr>
          <w:rFonts w:ascii="Times New Roman" w:hAnsi="Times New Roman"/>
          <w:b/>
          <w:sz w:val="24"/>
          <w:szCs w:val="24"/>
          <w:lang w:val="uk-UA"/>
        </w:rPr>
        <w:t xml:space="preserve"> оцінювання виконання завдань кандидатами на заміщення вакантних посад керівників закладів загальної середньої освіти</w:t>
      </w:r>
    </w:p>
    <w:p w:rsidR="006A63A9" w:rsidRPr="00DF7261" w:rsidRDefault="006A63A9" w:rsidP="00424C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63A9" w:rsidRPr="00DF7261" w:rsidRDefault="006A63A9" w:rsidP="00424C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1. Конкурсний відбір переможця конкурсу здійснюється за результатами: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письмового іспиту на знання законів України «Про освіту», «Про загальну середню освіту», «Про відпустки», Кодексу законів про працю України, інших нормативно-правових актів у сфері загальної середньої освіти;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перевірки професійних компетентностей, що відбувається шляхом письмового вирішення ситуаційного завдання;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2. Під час підготовки кандидатами відповідей на запитання екзаменаційного білета мають бути присутніми не менше трьох членів конкурсної комісії.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Іспит складається одночасно для всіх кандидатів на заміщення вакантної посади. Білети пропонуються кандидату за його вибором і відкриваються у присутності інших кандидатів на заміщення вакантних посад під час складання іспиту.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3. Загальний час письмового іспиту для підготовки відповіді на екзаменаційний білет (додаток 1 до критеріїв оцінювання ) становить 45 хвилин.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Іспит складається державною мовою. 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При підготовці відповідей на питання білета кандидат здійснює записи на аркуші із штампом </w:t>
      </w:r>
      <w:r>
        <w:rPr>
          <w:rFonts w:ascii="Times New Roman" w:hAnsi="Times New Roman"/>
          <w:sz w:val="24"/>
          <w:szCs w:val="24"/>
          <w:lang w:val="uk-UA"/>
        </w:rPr>
        <w:t xml:space="preserve">Пологівської районної ради Запорізької області. </w:t>
      </w:r>
      <w:r w:rsidRPr="00DF7261">
        <w:rPr>
          <w:rFonts w:ascii="Times New Roman" w:hAnsi="Times New Roman"/>
          <w:sz w:val="24"/>
          <w:szCs w:val="24"/>
          <w:lang w:val="uk-UA"/>
        </w:rPr>
        <w:t>Перед відповіддю обов’язково вказується прізвище, ім’я, по батькові кандидата, номер білета та питання, зазначені в білеті.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Після підготовки відповідей на аркуші проставляється підпис кандидата та дата складання іспиту. Підбиття підсумку здійснюється шляхом додавання балів за кожне питання і занесення загальної суми балів у екзаменаційну відомість (додаток 2 до критеріїв оцінювання).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4. Для оцінки знань кандидатів використовується 5-бальна система: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п’ять балів виставляється кандидатам, які виявили глибокі знання та успішно справилися із запитаннями на перевірку знання законодавства;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F7261">
        <w:rPr>
          <w:rFonts w:ascii="Times New Roman" w:hAnsi="Times New Roman"/>
          <w:bCs/>
          <w:sz w:val="24"/>
          <w:szCs w:val="24"/>
          <w:lang w:val="uk-UA"/>
        </w:rPr>
        <w:t>чотири бали</w:t>
      </w:r>
      <w:r w:rsidRPr="00DF7261">
        <w:rPr>
          <w:rFonts w:ascii="Times New Roman" w:hAnsi="Times New Roman"/>
          <w:sz w:val="24"/>
          <w:szCs w:val="24"/>
          <w:lang w:val="uk-UA"/>
        </w:rPr>
        <w:t> виставляється кандидатам, які виявили повні знання</w:t>
      </w:r>
      <w:r w:rsidRPr="00DF7261">
        <w:rPr>
          <w:rFonts w:ascii="Times New Roman" w:hAnsi="Times New Roman"/>
          <w:color w:val="666666"/>
          <w:sz w:val="24"/>
          <w:szCs w:val="24"/>
          <w:lang w:val="uk-UA"/>
        </w:rPr>
        <w:t xml:space="preserve"> </w:t>
      </w:r>
      <w:r w:rsidRPr="00DF7261">
        <w:rPr>
          <w:rFonts w:ascii="Times New Roman" w:hAnsi="Times New Roman"/>
          <w:sz w:val="24"/>
          <w:szCs w:val="24"/>
          <w:lang w:val="uk-UA"/>
        </w:rPr>
        <w:t>і достатньо володіють знаннями законодавства;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три бали виставляється кандидатам, які виявили розуміння поставлених питань в обсязі, достатньому для подальшої роботи;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два бали виставляється кандидатам, які розуміють основні поняття нормативно-правових актів, але у процесі відповіді допустили значну кількість помилок;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- один бал виставляється кандидатам, які не відповіли на питання, зазначені в екзаменаційному білеті.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 xml:space="preserve">5. Екзаменаційні білети затверджуються головою конкурсної комісії. </w:t>
      </w:r>
    </w:p>
    <w:p w:rsidR="006A63A9" w:rsidRPr="00720A4F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20A4F">
        <w:rPr>
          <w:rFonts w:ascii="Times New Roman" w:hAnsi="Times New Roman"/>
          <w:sz w:val="24"/>
          <w:szCs w:val="24"/>
          <w:lang w:val="uk-UA"/>
        </w:rPr>
        <w:t>До кожного білета включається по три питання на перевірку знання законодавства та  одне ситуаційне завдання – усього 4 питання.</w:t>
      </w:r>
    </w:p>
    <w:p w:rsidR="006A63A9" w:rsidRPr="00720A4F" w:rsidRDefault="006A63A9" w:rsidP="00424C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20A4F">
        <w:rPr>
          <w:rFonts w:ascii="Times New Roman" w:hAnsi="Times New Roman"/>
          <w:sz w:val="24"/>
          <w:szCs w:val="24"/>
          <w:lang w:val="uk-UA"/>
        </w:rPr>
        <w:t xml:space="preserve">Кількість білетів має бути не менше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720A4F">
        <w:rPr>
          <w:rFonts w:ascii="Times New Roman" w:hAnsi="Times New Roman"/>
          <w:sz w:val="24"/>
          <w:szCs w:val="24"/>
          <w:lang w:val="uk-UA"/>
        </w:rPr>
        <w:t>.</w:t>
      </w:r>
    </w:p>
    <w:p w:rsidR="006A63A9" w:rsidRPr="00DF7261" w:rsidRDefault="006A63A9" w:rsidP="00424C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3A9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261">
        <w:rPr>
          <w:rFonts w:ascii="Times New Roman" w:hAnsi="Times New Roman"/>
          <w:sz w:val="24"/>
          <w:szCs w:val="24"/>
          <w:lang w:val="uk-UA"/>
        </w:rPr>
        <w:t>6. Оцінювання кандидатів під час проведення презентації здійснюється кожним членом конкурсної комісії індивідуально за результатами співбесіди, для оцінки проведеної презентації та наданих кандидатом відповідей використовується 5-бальна система.</w:t>
      </w:r>
    </w:p>
    <w:p w:rsidR="006A63A9" w:rsidRPr="00DF7261" w:rsidRDefault="006A63A9" w:rsidP="00424C79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Мінімальна кількість балів необхідних для розгляду кандидатури – 12 балів.</w:t>
      </w:r>
    </w:p>
    <w:p w:rsidR="006A63A9" w:rsidRPr="00424C79" w:rsidRDefault="006A63A9" w:rsidP="00424C79">
      <w:pPr>
        <w:jc w:val="both"/>
        <w:rPr>
          <w:lang w:val="uk-UA"/>
        </w:rPr>
      </w:pPr>
      <w:bookmarkStart w:id="0" w:name="_GoBack"/>
      <w:bookmarkEnd w:id="0"/>
    </w:p>
    <w:sectPr w:rsidR="006A63A9" w:rsidRPr="00424C79" w:rsidSect="00404F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C79"/>
    <w:rsid w:val="00067F56"/>
    <w:rsid w:val="003066E2"/>
    <w:rsid w:val="00404F45"/>
    <w:rsid w:val="00424C79"/>
    <w:rsid w:val="006A63A9"/>
    <w:rsid w:val="00720A4F"/>
    <w:rsid w:val="009530A7"/>
    <w:rsid w:val="00957ABA"/>
    <w:rsid w:val="00DF7261"/>
    <w:rsid w:val="00FF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1147</Words>
  <Characters>6543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2020-02-07T07:40:00Z</dcterms:created>
  <dcterms:modified xsi:type="dcterms:W3CDTF">2020-02-07T07:46:00Z</dcterms:modified>
</cp:coreProperties>
</file>